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5FA96" w14:textId="77777777" w:rsidR="007F09BD" w:rsidRPr="007F09BD" w:rsidRDefault="007F09BD" w:rsidP="007F09BD">
      <w:pPr>
        <w:pStyle w:val="Heading1"/>
        <w:rPr>
          <w:rFonts w:eastAsia="Grundfos TheSans Light"/>
        </w:rPr>
      </w:pPr>
      <w:permStart w:id="1364140959" w:edGrp="everyone"/>
      <w:r w:rsidRPr="007F09BD">
        <w:rPr>
          <w:rFonts w:eastAsia="Grundfos TheSans Extd Bold"/>
        </w:rPr>
        <w:t>Grundfos delivers satisfactory financial results despite market headwinds in 2024</w:t>
      </w:r>
    </w:p>
    <w:p w14:paraId="6143E070" w14:textId="77777777" w:rsidR="0098386B" w:rsidRDefault="0098386B" w:rsidP="007F09BD">
      <w:pPr>
        <w:pStyle w:val="Heading3"/>
        <w:rPr>
          <w:rFonts w:eastAsia="Grundfos TheSans Light"/>
        </w:rPr>
      </w:pPr>
      <w:r w:rsidRPr="00363F65">
        <w:rPr>
          <w:rFonts w:eastAsia="Grundfos TheSans Light"/>
        </w:rPr>
        <w:t xml:space="preserve">In a challenging year with market headwinds, profitability </w:t>
      </w:r>
      <w:r>
        <w:rPr>
          <w:rFonts w:eastAsia="Grundfos TheSans Light"/>
        </w:rPr>
        <w:t xml:space="preserve">for Grundfos </w:t>
      </w:r>
      <w:r w:rsidRPr="00363F65">
        <w:rPr>
          <w:rFonts w:eastAsia="Grundfos TheSans Light"/>
        </w:rPr>
        <w:t xml:space="preserve">remained strong. </w:t>
      </w:r>
      <w:r>
        <w:rPr>
          <w:rFonts w:eastAsia="Grundfos TheSans Light"/>
        </w:rPr>
        <w:t>The company</w:t>
      </w:r>
      <w:r w:rsidRPr="00363F65">
        <w:rPr>
          <w:rFonts w:eastAsia="Grundfos TheSans Light"/>
        </w:rPr>
        <w:t xml:space="preserve"> experienced a 2.4% sales decline in 2024 but</w:t>
      </w:r>
      <w:r>
        <w:rPr>
          <w:rFonts w:eastAsia="Grundfos TheSans Light"/>
        </w:rPr>
        <w:t xml:space="preserve"> </w:t>
      </w:r>
      <w:r w:rsidRPr="00363F65">
        <w:rPr>
          <w:rFonts w:eastAsia="Grundfos TheSans Light"/>
        </w:rPr>
        <w:t xml:space="preserve">returned to moderate organic growth in the second half of the year. Coinciding with </w:t>
      </w:r>
      <w:r>
        <w:rPr>
          <w:rFonts w:eastAsia="Grundfos TheSans Light"/>
        </w:rPr>
        <w:t xml:space="preserve">the release of the </w:t>
      </w:r>
      <w:r w:rsidRPr="00363F65">
        <w:rPr>
          <w:rFonts w:eastAsia="Grundfos TheSans Light"/>
        </w:rPr>
        <w:t>2024</w:t>
      </w:r>
      <w:r>
        <w:rPr>
          <w:rFonts w:eastAsia="Grundfos TheSans Light"/>
        </w:rPr>
        <w:t xml:space="preserve"> </w:t>
      </w:r>
      <w:r w:rsidRPr="00363F65">
        <w:rPr>
          <w:rFonts w:eastAsia="Grundfos TheSans Light"/>
        </w:rPr>
        <w:t xml:space="preserve">results, the company announces its ambitious 2040 </w:t>
      </w:r>
      <w:r>
        <w:rPr>
          <w:rFonts w:eastAsia="Grundfos TheSans Light"/>
        </w:rPr>
        <w:t>w</w:t>
      </w:r>
      <w:r w:rsidRPr="00363F65">
        <w:rPr>
          <w:rFonts w:eastAsia="Grundfos TheSans Light"/>
        </w:rPr>
        <w:t xml:space="preserve">inning </w:t>
      </w:r>
      <w:r>
        <w:rPr>
          <w:rFonts w:eastAsia="Grundfos TheSans Light"/>
        </w:rPr>
        <w:t>a</w:t>
      </w:r>
      <w:r w:rsidRPr="00363F65">
        <w:rPr>
          <w:rFonts w:eastAsia="Grundfos TheSans Light"/>
        </w:rPr>
        <w:t>spiration</w:t>
      </w:r>
      <w:r>
        <w:rPr>
          <w:rFonts w:eastAsia="Grundfos TheSans Light"/>
        </w:rPr>
        <w:t xml:space="preserve"> and a new strategy, Ignite’27.</w:t>
      </w:r>
    </w:p>
    <w:p w14:paraId="04060740" w14:textId="77777777" w:rsidR="0098386B" w:rsidRDefault="0098386B" w:rsidP="0098386B">
      <w:pPr>
        <w:rPr>
          <w:rFonts w:ascii="Grundfos TheSans Light" w:eastAsia="Grundfos TheSans Light" w:hAnsi="Grundfos TheSans Light" w:cs="Grundfos TheSans Light"/>
          <w:sz w:val="20"/>
          <w:szCs w:val="20"/>
        </w:rPr>
      </w:pPr>
      <w:r>
        <w:rPr>
          <w:rFonts w:ascii="Grundfos TheSans Light" w:eastAsia="Grundfos TheSans Light" w:hAnsi="Grundfos TheSans Light" w:cs="Grundfos TheSans Light"/>
          <w:sz w:val="20"/>
          <w:szCs w:val="20"/>
        </w:rPr>
        <w:t xml:space="preserve">Grundfos, a global leader in advanced pump and water solutions, </w:t>
      </w:r>
      <w:r w:rsidRPr="006D7514">
        <w:rPr>
          <w:rFonts w:ascii="Grundfos TheSans Light" w:eastAsia="Grundfos TheSans Light" w:hAnsi="Grundfos TheSans Light" w:cs="Grundfos TheSans Light"/>
          <w:sz w:val="20"/>
          <w:szCs w:val="20"/>
        </w:rPr>
        <w:t>has today reported</w:t>
      </w:r>
      <w:r>
        <w:rPr>
          <w:rFonts w:ascii="Grundfos TheSans Light" w:eastAsia="Grundfos TheSans Light" w:hAnsi="Grundfos TheSans Light" w:cs="Grundfos TheSans Light"/>
          <w:sz w:val="20"/>
          <w:szCs w:val="20"/>
        </w:rPr>
        <w:t xml:space="preserve"> its full year results for 2024.</w:t>
      </w:r>
    </w:p>
    <w:tbl>
      <w:tblPr>
        <w:tblStyle w:val="GridTable6Colorful-Accent1"/>
        <w:tblW w:w="0" w:type="auto"/>
        <w:tblLook w:val="04A0" w:firstRow="1" w:lastRow="0" w:firstColumn="1" w:lastColumn="0" w:noHBand="0" w:noVBand="1"/>
      </w:tblPr>
      <w:tblGrid>
        <w:gridCol w:w="4508"/>
        <w:gridCol w:w="4508"/>
      </w:tblGrid>
      <w:tr w:rsidR="0098386B" w14:paraId="55517D03" w14:textId="77777777" w:rsidTr="00182A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650DE90" w14:textId="77777777" w:rsidR="0098386B" w:rsidRPr="00F84B81" w:rsidRDefault="0098386B" w:rsidP="00182A60">
            <w:pPr>
              <w:rPr>
                <w:rFonts w:ascii="Grundfos TheSans Light" w:eastAsia="Grundfos TheSans Light" w:hAnsi="Grundfos TheSans Light" w:cs="Grundfos TheSans Light"/>
                <w:sz w:val="20"/>
                <w:szCs w:val="20"/>
              </w:rPr>
            </w:pPr>
            <w:r w:rsidRPr="00F84B81">
              <w:rPr>
                <w:rFonts w:ascii="Grundfos TheSans Light" w:eastAsia="Grundfos TheSans Light" w:hAnsi="Grundfos TheSans Light" w:cs="Grundfos TheSans Light"/>
                <w:sz w:val="20"/>
                <w:szCs w:val="20"/>
              </w:rPr>
              <w:t>Sales development vs. 2023</w:t>
            </w:r>
          </w:p>
        </w:tc>
        <w:tc>
          <w:tcPr>
            <w:tcW w:w="4508" w:type="dxa"/>
          </w:tcPr>
          <w:p w14:paraId="177742FC" w14:textId="77777777" w:rsidR="0098386B" w:rsidRPr="00F84B81" w:rsidRDefault="0098386B" w:rsidP="00182A60">
            <w:pPr>
              <w:cnfStyle w:val="100000000000" w:firstRow="1" w:lastRow="0" w:firstColumn="0" w:lastColumn="0" w:oddVBand="0" w:evenVBand="0" w:oddHBand="0" w:evenHBand="0" w:firstRowFirstColumn="0" w:firstRowLastColumn="0" w:lastRowFirstColumn="0" w:lastRowLastColumn="0"/>
              <w:rPr>
                <w:rFonts w:ascii="Grundfos TheSans Light" w:eastAsia="Grundfos TheSans Light" w:hAnsi="Grundfos TheSans Light" w:cs="Grundfos TheSans Light"/>
                <w:sz w:val="20"/>
                <w:szCs w:val="20"/>
              </w:rPr>
            </w:pPr>
            <w:r w:rsidRPr="00F84B81">
              <w:rPr>
                <w:rFonts w:ascii="Grundfos TheSans Light" w:eastAsia="Grundfos TheSans Light" w:hAnsi="Grundfos TheSans Light" w:cs="Grundfos TheSans Light"/>
                <w:sz w:val="20"/>
                <w:szCs w:val="20"/>
              </w:rPr>
              <w:t>-2.4%</w:t>
            </w:r>
          </w:p>
        </w:tc>
      </w:tr>
      <w:tr w:rsidR="0098386B" w14:paraId="20B5412A" w14:textId="77777777" w:rsidTr="0018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35B029" w14:textId="77777777" w:rsidR="0098386B" w:rsidRPr="00F84B81" w:rsidRDefault="0098386B" w:rsidP="00182A60">
            <w:pPr>
              <w:rPr>
                <w:rFonts w:ascii="Grundfos TheSans Light" w:eastAsia="Grundfos TheSans Light" w:hAnsi="Grundfos TheSans Light" w:cs="Grundfos TheSans Light"/>
                <w:sz w:val="20"/>
                <w:szCs w:val="20"/>
              </w:rPr>
            </w:pPr>
            <w:r w:rsidRPr="00F84B81">
              <w:rPr>
                <w:rFonts w:ascii="Grundfos TheSans Light" w:eastAsia="Grundfos TheSans Light" w:hAnsi="Grundfos TheSans Light" w:cs="Grundfos TheSans Light"/>
                <w:sz w:val="20"/>
                <w:szCs w:val="20"/>
              </w:rPr>
              <w:t>Revenue</w:t>
            </w:r>
          </w:p>
        </w:tc>
        <w:tc>
          <w:tcPr>
            <w:tcW w:w="4508" w:type="dxa"/>
          </w:tcPr>
          <w:p w14:paraId="50B3E717" w14:textId="77777777" w:rsidR="0098386B" w:rsidRPr="00F84B81" w:rsidRDefault="0098386B" w:rsidP="00182A60">
            <w:pPr>
              <w:cnfStyle w:val="000000100000" w:firstRow="0" w:lastRow="0" w:firstColumn="0" w:lastColumn="0" w:oddVBand="0" w:evenVBand="0" w:oddHBand="1" w:evenHBand="0" w:firstRowFirstColumn="0" w:firstRowLastColumn="0" w:lastRowFirstColumn="0" w:lastRowLastColumn="0"/>
              <w:rPr>
                <w:rFonts w:ascii="Grundfos TheSans Light" w:eastAsia="Grundfos TheSans Light" w:hAnsi="Grundfos TheSans Light" w:cs="Grundfos TheSans Light"/>
                <w:b/>
                <w:bCs/>
                <w:sz w:val="20"/>
                <w:szCs w:val="20"/>
              </w:rPr>
            </w:pPr>
            <w:r w:rsidRPr="00F84B81">
              <w:rPr>
                <w:rFonts w:ascii="Grundfos TheSans Light" w:eastAsia="Grundfos TheSans Light" w:hAnsi="Grundfos TheSans Light" w:cs="Grundfos TheSans Light"/>
                <w:b/>
                <w:bCs/>
                <w:sz w:val="20"/>
                <w:szCs w:val="20"/>
              </w:rPr>
              <w:t>4</w:t>
            </w:r>
            <w:r>
              <w:rPr>
                <w:rFonts w:ascii="Grundfos TheSans Light" w:eastAsia="Grundfos TheSans Light" w:hAnsi="Grundfos TheSans Light" w:cs="Grundfos TheSans Light"/>
                <w:b/>
                <w:bCs/>
                <w:sz w:val="20"/>
                <w:szCs w:val="20"/>
              </w:rPr>
              <w:t>.5bn</w:t>
            </w:r>
            <w:r w:rsidRPr="00F84B81">
              <w:rPr>
                <w:rFonts w:ascii="Grundfos TheSans Light" w:eastAsia="Grundfos TheSans Light" w:hAnsi="Grundfos TheSans Light" w:cs="Grundfos TheSans Light"/>
                <w:b/>
                <w:bCs/>
                <w:sz w:val="20"/>
                <w:szCs w:val="20"/>
              </w:rPr>
              <w:t xml:space="preserve"> EUR</w:t>
            </w:r>
          </w:p>
        </w:tc>
      </w:tr>
      <w:tr w:rsidR="0098386B" w14:paraId="19B20A8C" w14:textId="77777777" w:rsidTr="00182A60">
        <w:tc>
          <w:tcPr>
            <w:cnfStyle w:val="001000000000" w:firstRow="0" w:lastRow="0" w:firstColumn="1" w:lastColumn="0" w:oddVBand="0" w:evenVBand="0" w:oddHBand="0" w:evenHBand="0" w:firstRowFirstColumn="0" w:firstRowLastColumn="0" w:lastRowFirstColumn="0" w:lastRowLastColumn="0"/>
            <w:tcW w:w="4508" w:type="dxa"/>
          </w:tcPr>
          <w:p w14:paraId="649199A2" w14:textId="77777777" w:rsidR="0098386B" w:rsidRPr="00F84B81" w:rsidRDefault="0098386B" w:rsidP="00182A60">
            <w:pPr>
              <w:rPr>
                <w:rFonts w:ascii="Grundfos TheSans Light" w:eastAsia="Grundfos TheSans Light" w:hAnsi="Grundfos TheSans Light" w:cs="Grundfos TheSans Light"/>
                <w:sz w:val="20"/>
                <w:szCs w:val="20"/>
              </w:rPr>
            </w:pPr>
            <w:r w:rsidRPr="00F84B81">
              <w:rPr>
                <w:rFonts w:ascii="Grundfos TheSans Light" w:eastAsia="Grundfos TheSans Light" w:hAnsi="Grundfos TheSans Light" w:cs="Grundfos TheSans Light"/>
                <w:sz w:val="20"/>
                <w:szCs w:val="20"/>
              </w:rPr>
              <w:t>EBIT before special items</w:t>
            </w:r>
          </w:p>
        </w:tc>
        <w:tc>
          <w:tcPr>
            <w:tcW w:w="4508" w:type="dxa"/>
          </w:tcPr>
          <w:p w14:paraId="40BFD097" w14:textId="77777777" w:rsidR="0098386B" w:rsidRPr="00F84B81" w:rsidRDefault="0098386B" w:rsidP="00182A60">
            <w:pPr>
              <w:cnfStyle w:val="000000000000" w:firstRow="0" w:lastRow="0" w:firstColumn="0" w:lastColumn="0" w:oddVBand="0" w:evenVBand="0" w:oddHBand="0" w:evenHBand="0" w:firstRowFirstColumn="0" w:firstRowLastColumn="0" w:lastRowFirstColumn="0" w:lastRowLastColumn="0"/>
              <w:rPr>
                <w:rFonts w:ascii="Grundfos TheSans Light" w:eastAsia="Grundfos TheSans Light" w:hAnsi="Grundfos TheSans Light" w:cs="Grundfos TheSans Light"/>
                <w:b/>
                <w:bCs/>
                <w:sz w:val="20"/>
                <w:szCs w:val="20"/>
              </w:rPr>
            </w:pPr>
            <w:r w:rsidRPr="00F84B81">
              <w:rPr>
                <w:rFonts w:ascii="Grundfos TheSans Light" w:eastAsia="Grundfos TheSans Light" w:hAnsi="Grundfos TheSans Light" w:cs="Grundfos TheSans Light"/>
                <w:b/>
                <w:bCs/>
                <w:sz w:val="20"/>
                <w:szCs w:val="20"/>
              </w:rPr>
              <w:t>482m EUR</w:t>
            </w:r>
          </w:p>
        </w:tc>
      </w:tr>
      <w:tr w:rsidR="0098386B" w14:paraId="111FE0AD" w14:textId="77777777" w:rsidTr="00182A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E4B6098" w14:textId="77777777" w:rsidR="0098386B" w:rsidRPr="00F84B81" w:rsidRDefault="0098386B" w:rsidP="00182A60">
            <w:pPr>
              <w:rPr>
                <w:rFonts w:ascii="Grundfos TheSans Light" w:eastAsia="Grundfos TheSans Light" w:hAnsi="Grundfos TheSans Light" w:cs="Grundfos TheSans Light"/>
                <w:sz w:val="20"/>
                <w:szCs w:val="20"/>
              </w:rPr>
            </w:pPr>
            <w:r w:rsidRPr="00F84B81">
              <w:rPr>
                <w:rFonts w:ascii="Grundfos TheSans Light" w:eastAsia="Grundfos TheSans Light" w:hAnsi="Grundfos TheSans Light" w:cs="Grundfos TheSans Light"/>
                <w:sz w:val="20"/>
                <w:szCs w:val="20"/>
              </w:rPr>
              <w:t>EBIT before special items ratio</w:t>
            </w:r>
          </w:p>
        </w:tc>
        <w:tc>
          <w:tcPr>
            <w:tcW w:w="4508" w:type="dxa"/>
          </w:tcPr>
          <w:p w14:paraId="0CC588DB" w14:textId="77777777" w:rsidR="0098386B" w:rsidRPr="00F84B81" w:rsidRDefault="0098386B" w:rsidP="00182A60">
            <w:pPr>
              <w:cnfStyle w:val="000000100000" w:firstRow="0" w:lastRow="0" w:firstColumn="0" w:lastColumn="0" w:oddVBand="0" w:evenVBand="0" w:oddHBand="1" w:evenHBand="0" w:firstRowFirstColumn="0" w:firstRowLastColumn="0" w:lastRowFirstColumn="0" w:lastRowLastColumn="0"/>
              <w:rPr>
                <w:rFonts w:ascii="Grundfos TheSans Light" w:eastAsia="Grundfos TheSans Light" w:hAnsi="Grundfos TheSans Light" w:cs="Grundfos TheSans Light"/>
                <w:b/>
                <w:bCs/>
                <w:sz w:val="20"/>
                <w:szCs w:val="20"/>
              </w:rPr>
            </w:pPr>
            <w:r w:rsidRPr="00F84B81">
              <w:rPr>
                <w:rFonts w:ascii="Grundfos TheSans Light" w:eastAsia="Grundfos TheSans Light" w:hAnsi="Grundfos TheSans Light" w:cs="Grundfos TheSans Light"/>
                <w:b/>
                <w:bCs/>
                <w:sz w:val="20"/>
                <w:szCs w:val="20"/>
              </w:rPr>
              <w:t>10.8%</w:t>
            </w:r>
          </w:p>
        </w:tc>
      </w:tr>
    </w:tbl>
    <w:p w14:paraId="0EFAF949" w14:textId="77777777" w:rsidR="0098386B" w:rsidRPr="00B82DDC" w:rsidRDefault="0098386B" w:rsidP="00182A60">
      <w:pPr>
        <w:rPr>
          <w:rFonts w:ascii="Grundfos TheSans Light" w:eastAsia="Grundfos TheSans Light" w:hAnsi="Grundfos TheSans Light" w:cs="Grundfos TheSans Light"/>
          <w:color w:val="FF0000"/>
          <w:sz w:val="20"/>
          <w:szCs w:val="20"/>
          <w:lang/>
        </w:rPr>
      </w:pPr>
      <w:r>
        <w:br/>
      </w:r>
      <w:r>
        <w:rPr>
          <w:rFonts w:ascii="Grundfos TheSans Light" w:eastAsia="Grundfos TheSans Light" w:hAnsi="Grundfos TheSans Light" w:cs="Grundfos TheSans Light"/>
          <w:sz w:val="20"/>
          <w:szCs w:val="20"/>
          <w:lang/>
        </w:rPr>
        <w:t>Full year sales</w:t>
      </w:r>
      <w:r w:rsidRPr="004C721F">
        <w:rPr>
          <w:rFonts w:ascii="Grundfos TheSans Light" w:eastAsia="Grundfos TheSans Light" w:hAnsi="Grundfos TheSans Light" w:cs="Grundfos TheSans Light"/>
          <w:sz w:val="20"/>
          <w:szCs w:val="20"/>
          <w:lang/>
        </w:rPr>
        <w:t xml:space="preserve"> were impacted by a slowdown in the global pump market</w:t>
      </w:r>
      <w:r>
        <w:rPr>
          <w:rFonts w:ascii="Grundfos TheSans Light" w:eastAsia="Grundfos TheSans Light" w:hAnsi="Grundfos TheSans Light" w:cs="Grundfos TheSans Light"/>
          <w:sz w:val="20"/>
          <w:szCs w:val="20"/>
          <w:lang/>
        </w:rPr>
        <w:t>,</w:t>
      </w:r>
      <w:r w:rsidRPr="004C721F">
        <w:rPr>
          <w:rFonts w:ascii="Grundfos TheSans Light" w:eastAsia="Grundfos TheSans Light" w:hAnsi="Grundfos TheSans Light" w:cs="Grundfos TheSans Light"/>
          <w:sz w:val="20"/>
          <w:szCs w:val="20"/>
          <w:lang/>
        </w:rPr>
        <w:t xml:space="preserve"> in particular </w:t>
      </w:r>
      <w:r>
        <w:rPr>
          <w:rFonts w:ascii="Grundfos TheSans Light" w:eastAsia="Grundfos TheSans Light" w:hAnsi="Grundfos TheSans Light" w:cs="Grundfos TheSans Light"/>
          <w:sz w:val="20"/>
          <w:szCs w:val="20"/>
          <w:lang/>
        </w:rPr>
        <w:t xml:space="preserve">by </w:t>
      </w:r>
      <w:r w:rsidRPr="004C721F">
        <w:rPr>
          <w:rFonts w:ascii="Grundfos TheSans Light" w:eastAsia="Grundfos TheSans Light" w:hAnsi="Grundfos TheSans Light" w:cs="Grundfos TheSans Light"/>
          <w:sz w:val="20"/>
          <w:szCs w:val="20"/>
          <w:lang/>
        </w:rPr>
        <w:t xml:space="preserve">lower activity levels in the building sector and </w:t>
      </w:r>
      <w:r>
        <w:rPr>
          <w:rFonts w:ascii="Grundfos TheSans Light" w:eastAsia="Grundfos TheSans Light" w:hAnsi="Grundfos TheSans Light" w:cs="Grundfos TheSans Light"/>
          <w:sz w:val="20"/>
          <w:szCs w:val="20"/>
          <w:lang/>
        </w:rPr>
        <w:t xml:space="preserve">the </w:t>
      </w:r>
      <w:r w:rsidRPr="004C721F">
        <w:rPr>
          <w:rFonts w:ascii="Grundfos TheSans Light" w:eastAsia="Grundfos TheSans Light" w:hAnsi="Grundfos TheSans Light" w:cs="Grundfos TheSans Light"/>
          <w:sz w:val="20"/>
          <w:szCs w:val="20"/>
          <w:lang/>
        </w:rPr>
        <w:t>decline of the heat pump market to which Grundfos is a major supplier of circulators.</w:t>
      </w:r>
      <w:r>
        <w:rPr>
          <w:rFonts w:ascii="Grundfos TheSans Light" w:eastAsia="Grundfos TheSans Light" w:hAnsi="Grundfos TheSans Light" w:cs="Grundfos TheSans Light"/>
          <w:sz w:val="20"/>
          <w:szCs w:val="20"/>
          <w:lang/>
        </w:rPr>
        <w:t xml:space="preserve"> </w:t>
      </w:r>
    </w:p>
    <w:p w14:paraId="4D3A0DFB" w14:textId="77777777" w:rsidR="0098386B" w:rsidRDefault="0098386B" w:rsidP="00182A60">
      <w:pPr>
        <w:rPr>
          <w:rFonts w:ascii="Grundfos TheSans Light" w:eastAsia="Grundfos TheSans Light" w:hAnsi="Grundfos TheSans Light" w:cs="Grundfos TheSans Light"/>
          <w:sz w:val="20"/>
          <w:szCs w:val="20"/>
        </w:rPr>
      </w:pPr>
      <w:r>
        <w:rPr>
          <w:rFonts w:ascii="Grundfos TheSans Light" w:eastAsia="Grundfos TheSans Light" w:hAnsi="Grundfos TheSans Light" w:cs="Grundfos TheSans Light"/>
          <w:sz w:val="20"/>
          <w:szCs w:val="20"/>
        </w:rPr>
        <w:t xml:space="preserve">After a challenging first half of 2024, Grundfos delivered organic growth of around </w:t>
      </w:r>
      <w:r w:rsidRPr="005F2F16">
        <w:rPr>
          <w:rFonts w:ascii="Grundfos TheSans Light" w:eastAsia="Grundfos TheSans Light" w:hAnsi="Grundfos TheSans Light" w:cs="Grundfos TheSans Light"/>
          <w:sz w:val="20"/>
          <w:szCs w:val="20"/>
        </w:rPr>
        <w:t>4%</w:t>
      </w:r>
      <w:r>
        <w:rPr>
          <w:rFonts w:ascii="Grundfos TheSans Light" w:eastAsia="Grundfos TheSans Light" w:hAnsi="Grundfos TheSans Light" w:cs="Grundfos TheSans Light"/>
          <w:sz w:val="20"/>
          <w:szCs w:val="20"/>
        </w:rPr>
        <w:t xml:space="preserve"> in the second half of the year. Grundfos also managed to grow sales in several key markets, most notably in the US and India. In contrast, sales in China and Europe, not least Germany, were affected by lower demand. D</w:t>
      </w:r>
      <w:r w:rsidRPr="74F75D70">
        <w:rPr>
          <w:rFonts w:ascii="Grundfos TheSans Light" w:eastAsia="Grundfos TheSans Light" w:hAnsi="Grundfos TheSans Light" w:cs="Grundfos TheSans Light"/>
          <w:sz w:val="20"/>
          <w:szCs w:val="20"/>
        </w:rPr>
        <w:t>espite</w:t>
      </w:r>
      <w:r>
        <w:rPr>
          <w:rFonts w:ascii="Grundfos TheSans Light" w:eastAsia="Grundfos TheSans Light" w:hAnsi="Grundfos TheSans Light" w:cs="Grundfos TheSans Light"/>
          <w:sz w:val="20"/>
          <w:szCs w:val="20"/>
        </w:rPr>
        <w:t xml:space="preserve"> the slowdown in sales, </w:t>
      </w:r>
      <w:r>
        <w:rPr>
          <w:rStyle w:val="CommentReference"/>
          <w:rFonts w:ascii="Grundfos TheSans Light" w:hAnsi="Grundfos TheSans Light"/>
          <w:sz w:val="20"/>
          <w:szCs w:val="20"/>
        </w:rPr>
        <w:t>p</w:t>
      </w:r>
      <w:r>
        <w:rPr>
          <w:rFonts w:ascii="Grundfos TheSans Light" w:eastAsia="Grundfos TheSans Light" w:hAnsi="Grundfos TheSans Light" w:cs="Grundfos TheSans Light"/>
          <w:sz w:val="20"/>
          <w:szCs w:val="20"/>
        </w:rPr>
        <w:t>rofitability remained strong and in line with the company’s strategic ambition of a 10% EBIT ratio.</w:t>
      </w:r>
    </w:p>
    <w:p w14:paraId="47373352" w14:textId="77777777" w:rsidR="0098386B" w:rsidRPr="00216568" w:rsidRDefault="0098386B" w:rsidP="00182A60">
      <w:pPr>
        <w:rPr>
          <w:rFonts w:ascii="Grundfos TheSans Light" w:eastAsia="Grundfos TheSans Light" w:hAnsi="Grundfos TheSans Light" w:cs="Grundfos TheSans Light"/>
          <w:sz w:val="20"/>
          <w:szCs w:val="20"/>
        </w:rPr>
      </w:pPr>
      <w:r w:rsidRPr="00A161BA">
        <w:rPr>
          <w:rFonts w:ascii="Grundfos TheSans Light" w:eastAsia="Grundfos TheSans Light" w:hAnsi="Grundfos TheSans Light" w:cs="Grundfos TheSans Light"/>
          <w:sz w:val="20"/>
          <w:szCs w:val="20"/>
        </w:rPr>
        <w:t xml:space="preserve">Commenting on the company performance, Grundfos CEO Poul Due Jensen said: “While our top line does not meet our expectations, I am overall satisfied with our financial results. I am encouraged by our sales growth across </w:t>
      </w:r>
      <w:proofErr w:type="gramStart"/>
      <w:r w:rsidRPr="00A161BA">
        <w:rPr>
          <w:rFonts w:ascii="Grundfos TheSans Light" w:eastAsia="Grundfos TheSans Light" w:hAnsi="Grundfos TheSans Light" w:cs="Grundfos TheSans Light"/>
          <w:sz w:val="20"/>
          <w:szCs w:val="20"/>
        </w:rPr>
        <w:t>a number of</w:t>
      </w:r>
      <w:proofErr w:type="gramEnd"/>
      <w:r w:rsidRPr="00A161BA">
        <w:rPr>
          <w:rFonts w:ascii="Grundfos TheSans Light" w:eastAsia="Grundfos TheSans Light" w:hAnsi="Grundfos TheSans Light" w:cs="Grundfos TheSans Light"/>
          <w:sz w:val="20"/>
          <w:szCs w:val="20"/>
        </w:rPr>
        <w:t xml:space="preserve"> key markets. Despite facing significant headwinds in 2024, it is also satisfactory to see that we continue to run a healthy business, setting us up for future success.”</w:t>
      </w:r>
    </w:p>
    <w:p w14:paraId="2BB8A22A" w14:textId="77777777" w:rsidR="0098386B" w:rsidRDefault="0098386B" w:rsidP="00182A60">
      <w:pPr>
        <w:rPr>
          <w:rFonts w:ascii="Grundfos TheSans Light" w:eastAsia="Grundfos TheSans Light" w:hAnsi="Grundfos TheSans Light" w:cs="Grundfos TheSans Light"/>
          <w:sz w:val="20"/>
          <w:szCs w:val="20"/>
        </w:rPr>
      </w:pPr>
      <w:r w:rsidRPr="0098386B">
        <w:rPr>
          <w:rStyle w:val="Heading3Char"/>
        </w:rPr>
        <w:t>Ahead of CO2 reduction target</w:t>
      </w:r>
      <w:r w:rsidRPr="00EA28E6">
        <w:rPr>
          <w:rFonts w:ascii="Grundfos TheSans Light" w:eastAsia="Grundfos TheSans Light" w:hAnsi="Grundfos TheSans Light" w:cs="Grundfos TheSans Light"/>
          <w:b/>
          <w:bCs/>
          <w:color w:val="EEF4F9" w:themeColor="text2" w:themeTint="BF"/>
          <w:sz w:val="20"/>
          <w:szCs w:val="20"/>
        </w:rPr>
        <w:br/>
      </w:r>
      <w:r>
        <w:rPr>
          <w:rFonts w:ascii="Grundfos TheSans Light" w:eastAsia="Grundfos TheSans Light" w:hAnsi="Grundfos TheSans Light" w:cs="Grundfos TheSans Light"/>
          <w:sz w:val="20"/>
          <w:szCs w:val="20"/>
        </w:rPr>
        <w:t>Known for its strong commitment to sustainability, Grundfos managed to reduce its total CO</w:t>
      </w:r>
      <w:r w:rsidRPr="002956F7">
        <w:rPr>
          <w:rFonts w:ascii="Grundfos TheSans Light" w:eastAsia="Grundfos TheSans Light" w:hAnsi="Grundfos TheSans Light" w:cs="Grundfos TheSans Light"/>
          <w:sz w:val="20"/>
          <w:szCs w:val="20"/>
          <w:vertAlign w:val="subscript"/>
        </w:rPr>
        <w:t>2</w:t>
      </w:r>
      <w:r>
        <w:rPr>
          <w:rFonts w:ascii="Grundfos TheSans Light" w:eastAsia="Grundfos TheSans Light" w:hAnsi="Grundfos TheSans Light" w:cs="Grundfos TheSans Light"/>
          <w:sz w:val="20"/>
          <w:szCs w:val="20"/>
        </w:rPr>
        <w:t xml:space="preserve"> emissions by almost 10.5% year-on-year in 2024. This achievement can be attributed to increased sales of more energy-efficient pumps, further </w:t>
      </w:r>
      <w:proofErr w:type="spellStart"/>
      <w:r>
        <w:rPr>
          <w:rFonts w:ascii="Grundfos TheSans Light" w:eastAsia="Grundfos TheSans Light" w:hAnsi="Grundfos TheSans Light" w:cs="Grundfos TheSans Light"/>
          <w:sz w:val="20"/>
          <w:szCs w:val="20"/>
        </w:rPr>
        <w:t>decarbonisation</w:t>
      </w:r>
      <w:proofErr w:type="spellEnd"/>
      <w:r>
        <w:rPr>
          <w:rFonts w:ascii="Grundfos TheSans Light" w:eastAsia="Grundfos TheSans Light" w:hAnsi="Grundfos TheSans Light" w:cs="Grundfos TheSans Light"/>
          <w:sz w:val="20"/>
          <w:szCs w:val="20"/>
        </w:rPr>
        <w:t xml:space="preserve"> of the electricity grid and a lower volume of products sold</w:t>
      </w:r>
      <w:r w:rsidRPr="74F75D70">
        <w:rPr>
          <w:rFonts w:ascii="Grundfos TheSans Light" w:eastAsia="Grundfos TheSans Light" w:hAnsi="Grundfos TheSans Light" w:cs="Grundfos TheSans Light"/>
          <w:sz w:val="20"/>
          <w:szCs w:val="20"/>
        </w:rPr>
        <w:t xml:space="preserve">. </w:t>
      </w:r>
      <w:r>
        <w:rPr>
          <w:rFonts w:ascii="Grundfos TheSans Light" w:eastAsia="Grundfos TheSans Light" w:hAnsi="Grundfos TheSans Light" w:cs="Grundfos TheSans Light"/>
          <w:sz w:val="20"/>
          <w:szCs w:val="20"/>
        </w:rPr>
        <w:t>The company has reduced CO</w:t>
      </w:r>
      <w:r w:rsidRPr="00BF015B">
        <w:rPr>
          <w:rFonts w:ascii="Grundfos TheSans Light" w:eastAsia="Grundfos TheSans Light" w:hAnsi="Grundfos TheSans Light" w:cs="Grundfos TheSans Light"/>
          <w:sz w:val="20"/>
          <w:szCs w:val="20"/>
          <w:vertAlign w:val="subscript"/>
        </w:rPr>
        <w:t>2</w:t>
      </w:r>
      <w:r>
        <w:rPr>
          <w:rFonts w:ascii="Grundfos TheSans Light" w:eastAsia="Grundfos TheSans Light" w:hAnsi="Grundfos TheSans Light" w:cs="Grundfos TheSans Light"/>
          <w:sz w:val="20"/>
          <w:szCs w:val="20"/>
        </w:rPr>
        <w:t xml:space="preserve"> emissions by </w:t>
      </w:r>
      <w:r w:rsidRPr="00603445">
        <w:rPr>
          <w:rFonts w:ascii="Grundfos TheSans Light" w:eastAsia="Grundfos TheSans Light" w:hAnsi="Grundfos TheSans Light" w:cs="Grundfos TheSans Light"/>
          <w:sz w:val="20"/>
          <w:szCs w:val="20"/>
        </w:rPr>
        <w:t>2</w:t>
      </w:r>
      <w:r>
        <w:rPr>
          <w:rFonts w:ascii="Grundfos TheSans Light" w:eastAsia="Grundfos TheSans Light" w:hAnsi="Grundfos TheSans Light" w:cs="Grundfos TheSans Light"/>
          <w:sz w:val="20"/>
          <w:szCs w:val="20"/>
        </w:rPr>
        <w:t>4</w:t>
      </w:r>
      <w:r w:rsidRPr="00603445">
        <w:rPr>
          <w:rFonts w:ascii="Grundfos TheSans Light" w:eastAsia="Grundfos TheSans Light" w:hAnsi="Grundfos TheSans Light" w:cs="Grundfos TheSans Light"/>
          <w:sz w:val="20"/>
          <w:szCs w:val="20"/>
        </w:rPr>
        <w:t>%</w:t>
      </w:r>
      <w:r>
        <w:rPr>
          <w:rFonts w:ascii="Grundfos TheSans Light" w:eastAsia="Grundfos TheSans Light" w:hAnsi="Grundfos TheSans Light" w:cs="Grundfos TheSans Light"/>
          <w:sz w:val="20"/>
          <w:szCs w:val="20"/>
        </w:rPr>
        <w:t xml:space="preserve"> since the baseline year 2020 and is </w:t>
      </w:r>
      <w:r w:rsidRPr="00B566C7">
        <w:rPr>
          <w:rFonts w:ascii="Grundfos TheSans Light" w:eastAsia="Grundfos TheSans Light" w:hAnsi="Grundfos TheSans Light" w:cs="Grundfos TheSans Light"/>
          <w:sz w:val="20"/>
          <w:szCs w:val="20"/>
        </w:rPr>
        <w:t xml:space="preserve">well ahead of </w:t>
      </w:r>
      <w:r>
        <w:rPr>
          <w:rFonts w:ascii="Grundfos TheSans Light" w:eastAsia="Grundfos TheSans Light" w:hAnsi="Grundfos TheSans Light" w:cs="Grundfos TheSans Light"/>
          <w:sz w:val="20"/>
          <w:szCs w:val="20"/>
        </w:rPr>
        <w:t xml:space="preserve">its </w:t>
      </w:r>
      <w:r w:rsidRPr="00B566C7">
        <w:rPr>
          <w:rFonts w:ascii="Grundfos TheSans Light" w:eastAsia="Grundfos TheSans Light" w:hAnsi="Grundfos TheSans Light" w:cs="Grundfos TheSans Light"/>
          <w:sz w:val="20"/>
          <w:szCs w:val="20"/>
        </w:rPr>
        <w:t>SBTi</w:t>
      </w:r>
      <w:r>
        <w:rPr>
          <w:rFonts w:ascii="Grundfos TheSans Light" w:eastAsia="Grundfos TheSans Light" w:hAnsi="Grundfos TheSans Light" w:cs="Grundfos TheSans Light"/>
          <w:sz w:val="20"/>
          <w:szCs w:val="20"/>
        </w:rPr>
        <w:t>-</w:t>
      </w:r>
      <w:r w:rsidRPr="00B566C7">
        <w:rPr>
          <w:rFonts w:ascii="Grundfos TheSans Light" w:eastAsia="Grundfos TheSans Light" w:hAnsi="Grundfos TheSans Light" w:cs="Grundfos TheSans Light"/>
          <w:sz w:val="20"/>
          <w:szCs w:val="20"/>
        </w:rPr>
        <w:t xml:space="preserve">approved target of </w:t>
      </w:r>
      <w:r>
        <w:rPr>
          <w:rFonts w:ascii="Grundfos TheSans Light" w:eastAsia="Grundfos TheSans Light" w:hAnsi="Grundfos TheSans Light" w:cs="Grundfos TheSans Light"/>
          <w:sz w:val="20"/>
          <w:szCs w:val="20"/>
        </w:rPr>
        <w:t xml:space="preserve">a </w:t>
      </w:r>
      <w:r w:rsidRPr="00B566C7">
        <w:rPr>
          <w:rFonts w:ascii="Grundfos TheSans Light" w:eastAsia="Grundfos TheSans Light" w:hAnsi="Grundfos TheSans Light" w:cs="Grundfos TheSans Light"/>
          <w:sz w:val="20"/>
          <w:szCs w:val="20"/>
        </w:rPr>
        <w:t xml:space="preserve">25% reduction </w:t>
      </w:r>
      <w:r>
        <w:rPr>
          <w:rFonts w:ascii="Grundfos TheSans Light" w:eastAsia="Grundfos TheSans Light" w:hAnsi="Grundfos TheSans Light" w:cs="Grundfos TheSans Light"/>
          <w:sz w:val="20"/>
          <w:szCs w:val="20"/>
        </w:rPr>
        <w:t>by 2</w:t>
      </w:r>
      <w:r w:rsidRPr="00B566C7">
        <w:rPr>
          <w:rFonts w:ascii="Grundfos TheSans Light" w:eastAsia="Grundfos TheSans Light" w:hAnsi="Grundfos TheSans Light" w:cs="Grundfos TheSans Light"/>
          <w:sz w:val="20"/>
          <w:szCs w:val="20"/>
        </w:rPr>
        <w:t>030</w:t>
      </w:r>
      <w:r>
        <w:rPr>
          <w:rFonts w:ascii="Grundfos TheSans Light" w:eastAsia="Grundfos TheSans Light" w:hAnsi="Grundfos TheSans Light" w:cs="Grundfos TheSans Light"/>
          <w:sz w:val="20"/>
          <w:szCs w:val="20"/>
        </w:rPr>
        <w:t>.</w:t>
      </w:r>
    </w:p>
    <w:p w14:paraId="6531E2C6" w14:textId="77777777" w:rsidR="0098386B" w:rsidRPr="002B1DBF" w:rsidRDefault="0098386B" w:rsidP="00182A60">
      <w:pPr>
        <w:rPr>
          <w:rFonts w:ascii="Grundfos TheSans Light" w:hAnsi="Grundfos TheSans Light"/>
          <w:color w:val="FF0000"/>
          <w:sz w:val="20"/>
          <w:szCs w:val="20"/>
        </w:rPr>
      </w:pPr>
      <w:r w:rsidRPr="0098386B">
        <w:rPr>
          <w:rStyle w:val="Heading3Char"/>
        </w:rPr>
        <w:t>New group strategy - 2040 Winning Aspiration and Ignite’27</w:t>
      </w:r>
      <w:r w:rsidRPr="004163C0">
        <w:rPr>
          <w:rFonts w:ascii="Grundfos TheSans Light" w:hAnsi="Grundfos TheSans Light"/>
          <w:b/>
          <w:bCs/>
          <w:color w:val="EEF4F9" w:themeColor="text2" w:themeTint="BF"/>
          <w:sz w:val="20"/>
          <w:szCs w:val="20"/>
        </w:rPr>
        <w:br/>
      </w:r>
      <w:r w:rsidRPr="00A161BA">
        <w:rPr>
          <w:rFonts w:ascii="Grundfos TheSans Light" w:hAnsi="Grundfos TheSans Light"/>
          <w:color w:val="000000" w:themeColor="text1"/>
          <w:sz w:val="20"/>
          <w:szCs w:val="20"/>
        </w:rPr>
        <w:t xml:space="preserve">Coinciding with the release of the 2024 results, Grundfos announced a winning aspiration for 2040 and its new Group Strategy, </w:t>
      </w:r>
      <w:proofErr w:type="gramStart"/>
      <w:r w:rsidRPr="00A161BA">
        <w:rPr>
          <w:rFonts w:ascii="Grundfos TheSans Light" w:hAnsi="Grundfos TheSans Light"/>
          <w:i/>
          <w:iCs/>
          <w:color w:val="000000" w:themeColor="text1"/>
          <w:sz w:val="20"/>
          <w:szCs w:val="20"/>
        </w:rPr>
        <w:t>Ignite</w:t>
      </w:r>
      <w:proofErr w:type="gramEnd"/>
      <w:r w:rsidRPr="00A161BA">
        <w:rPr>
          <w:rFonts w:ascii="Grundfos TheSans Light" w:hAnsi="Grundfos TheSans Light"/>
          <w:i/>
          <w:iCs/>
          <w:color w:val="000000" w:themeColor="text1"/>
          <w:sz w:val="20"/>
          <w:szCs w:val="20"/>
        </w:rPr>
        <w:t>’27</w:t>
      </w:r>
      <w:r w:rsidRPr="00A161BA">
        <w:rPr>
          <w:rFonts w:ascii="Grundfos TheSans Light" w:hAnsi="Grundfos TheSans Light"/>
          <w:color w:val="000000" w:themeColor="text1"/>
          <w:sz w:val="20"/>
          <w:szCs w:val="20"/>
        </w:rPr>
        <w:t xml:space="preserve">, </w:t>
      </w:r>
      <w:r w:rsidRPr="00A161BA">
        <w:rPr>
          <w:rFonts w:ascii="Grundfos TheSans Light" w:eastAsia="Grundfos TheSans Light" w:hAnsi="Grundfos TheSans Light" w:cs="Grundfos TheSans Light"/>
          <w:color w:val="000000" w:themeColor="text1"/>
          <w:sz w:val="20"/>
          <w:szCs w:val="20"/>
        </w:rPr>
        <w:t>which supports the company’s sustainability journey, innovation efforts and growth ambitions.</w:t>
      </w:r>
    </w:p>
    <w:p w14:paraId="45D5A4A4" w14:textId="77777777" w:rsidR="0098386B" w:rsidRPr="009A79C5" w:rsidRDefault="0098386B" w:rsidP="00182A60">
      <w:pPr>
        <w:rPr>
          <w:rFonts w:ascii="Grundfos TheSans Light" w:eastAsia="Grundfos TheSans Light" w:hAnsi="Grundfos TheSans Light" w:cs="Grundfos TheSans Light"/>
          <w:sz w:val="20"/>
          <w:szCs w:val="20"/>
        </w:rPr>
      </w:pPr>
      <w:r>
        <w:rPr>
          <w:rFonts w:ascii="Grundfos TheSans Light" w:eastAsia="Grundfos TheSans Light" w:hAnsi="Grundfos TheSans Light" w:cs="Grundfos TheSans Light"/>
          <w:sz w:val="20"/>
          <w:szCs w:val="20"/>
        </w:rPr>
        <w:t>Talking on the new strategy</w:t>
      </w:r>
      <w:r w:rsidRPr="00603445">
        <w:rPr>
          <w:rFonts w:ascii="Grundfos TheSans Light" w:eastAsia="Grundfos TheSans Light" w:hAnsi="Grundfos TheSans Light" w:cs="Grundfos TheSans Light"/>
          <w:sz w:val="20"/>
          <w:szCs w:val="20"/>
        </w:rPr>
        <w:t>, Due Jensen said</w:t>
      </w:r>
      <w:r>
        <w:rPr>
          <w:rFonts w:ascii="Grundfos TheSans Light" w:eastAsia="Grundfos TheSans Light" w:hAnsi="Grundfos TheSans Light" w:cs="Grundfos TheSans Light"/>
          <w:sz w:val="20"/>
          <w:szCs w:val="20"/>
        </w:rPr>
        <w:t>: “</w:t>
      </w:r>
      <w:r w:rsidRPr="00693C3B">
        <w:rPr>
          <w:rFonts w:ascii="Grundfos TheSans Light" w:eastAsia="Grundfos TheSans Light" w:hAnsi="Grundfos TheSans Light" w:cs="Grundfos TheSans Light"/>
          <w:color w:val="000000" w:themeColor="text1"/>
          <w:sz w:val="20"/>
          <w:szCs w:val="20"/>
        </w:rPr>
        <w:t>The world continues to be an unstable and unpredictable place, but we are heavily engaged to deliver growth in this next financial year</w:t>
      </w:r>
      <w:r w:rsidRPr="001E01E9">
        <w:rPr>
          <w:rFonts w:ascii="Grundfos TheSans Light" w:eastAsia="Grundfos TheSans Light" w:hAnsi="Grundfos TheSans Light" w:cs="Grundfos TheSans Light"/>
          <w:color w:val="FF0000"/>
          <w:sz w:val="20"/>
          <w:szCs w:val="20"/>
        </w:rPr>
        <w:t xml:space="preserve">. </w:t>
      </w:r>
      <w:r>
        <w:rPr>
          <w:rFonts w:ascii="Grundfos TheSans Light" w:eastAsia="Grundfos TheSans Light" w:hAnsi="Grundfos TheSans Light" w:cs="Grundfos TheSans Light"/>
          <w:sz w:val="20"/>
          <w:szCs w:val="20"/>
        </w:rPr>
        <w:t xml:space="preserve">Furthermore, </w:t>
      </w:r>
      <w:r>
        <w:rPr>
          <w:rFonts w:ascii="Grundfos TheSans SemiLight" w:eastAsia="Grundfos TheSans SemiLight" w:hAnsi="Grundfos TheSans SemiLight" w:cs="Grundfos TheSans SemiLight"/>
          <w:sz w:val="20"/>
          <w:szCs w:val="20"/>
        </w:rPr>
        <w:t xml:space="preserve">the coming three-year period is set </w:t>
      </w:r>
      <w:r w:rsidRPr="00AE0799">
        <w:rPr>
          <w:rFonts w:ascii="Grundfos TheSans SemiLight" w:eastAsia="Grundfos TheSans SemiLight" w:hAnsi="Grundfos TheSans SemiLight" w:cs="Grundfos TheSans SemiLight"/>
          <w:sz w:val="20"/>
          <w:szCs w:val="20"/>
        </w:rPr>
        <w:t xml:space="preserve">to </w:t>
      </w:r>
      <w:r w:rsidRPr="0005286C">
        <w:rPr>
          <w:rFonts w:ascii="Grundfos TheSans SemiLight" w:eastAsia="Grundfos TheSans SemiLight" w:hAnsi="Grundfos TheSans SemiLight" w:cs="Grundfos TheSans SemiLight"/>
          <w:color w:val="000000" w:themeColor="text1"/>
          <w:sz w:val="20"/>
          <w:szCs w:val="20"/>
        </w:rPr>
        <w:t>boost</w:t>
      </w:r>
      <w:r w:rsidRPr="0005286C">
        <w:rPr>
          <w:rFonts w:ascii="Grundfos TheSans SemiLight" w:eastAsia="Grundfos TheSans SemiLight" w:hAnsi="Grundfos TheSans SemiLight" w:cs="Grundfos TheSans SemiLight"/>
          <w:sz w:val="20"/>
          <w:szCs w:val="20"/>
        </w:rPr>
        <w:t xml:space="preserve"> our growth journey and expand</w:t>
      </w:r>
      <w:r>
        <w:rPr>
          <w:rFonts w:ascii="Grundfos TheSans SemiLight" w:eastAsia="Grundfos TheSans SemiLight" w:hAnsi="Grundfos TheSans SemiLight" w:cs="Grundfos TheSans SemiLight"/>
          <w:sz w:val="20"/>
          <w:szCs w:val="20"/>
        </w:rPr>
        <w:t xml:space="preserve"> our position as a leading provider of intelligent water and climate solutions globally.”</w:t>
      </w:r>
    </w:p>
    <w:p w14:paraId="3019F1D5" w14:textId="77777777" w:rsidR="0098386B" w:rsidRPr="004C0D5E" w:rsidRDefault="0098386B" w:rsidP="00182A60">
      <w:pPr>
        <w:rPr>
          <w:rFonts w:ascii="Grundfos TheSans Light" w:eastAsia="Grundfos TheSans Light" w:hAnsi="Grundfos TheSans Light" w:cs="Grundfos TheSans Light"/>
          <w:color w:val="FF0000"/>
          <w:sz w:val="20"/>
          <w:szCs w:val="20"/>
        </w:rPr>
      </w:pPr>
      <w:r w:rsidRPr="0098386B">
        <w:rPr>
          <w:rStyle w:val="Heading3Char"/>
        </w:rPr>
        <w:lastRenderedPageBreak/>
        <w:t>Innovation has never been more vital</w:t>
      </w:r>
      <w:r w:rsidRPr="00400AA0">
        <w:rPr>
          <w:rFonts w:ascii="Grundfos TheSans Light" w:eastAsia="Grundfos TheSans Light" w:hAnsi="Grundfos TheSans Light" w:cs="Grundfos TheSans Light"/>
          <w:b/>
          <w:bCs/>
          <w:color w:val="EEF4F9" w:themeColor="text2" w:themeTint="BF"/>
          <w:sz w:val="20"/>
          <w:szCs w:val="20"/>
        </w:rPr>
        <w:br/>
      </w:r>
      <w:r>
        <w:rPr>
          <w:rFonts w:ascii="Grundfos TheSans Light" w:eastAsia="Grundfos TheSans Light" w:hAnsi="Grundfos TheSans Light" w:cs="Grundfos TheSans Light"/>
          <w:sz w:val="20"/>
          <w:szCs w:val="20"/>
        </w:rPr>
        <w:t>A k</w:t>
      </w:r>
      <w:r w:rsidRPr="00D20120">
        <w:rPr>
          <w:rFonts w:ascii="Grundfos TheSans Light" w:eastAsia="Grundfos TheSans Light" w:hAnsi="Grundfos TheSans Light" w:cs="Grundfos TheSans Light"/>
          <w:sz w:val="20"/>
          <w:szCs w:val="20"/>
        </w:rPr>
        <w:t xml:space="preserve">ey </w:t>
      </w:r>
      <w:r>
        <w:rPr>
          <w:rFonts w:ascii="Grundfos TheSans Light" w:eastAsia="Grundfos TheSans Light" w:hAnsi="Grundfos TheSans Light" w:cs="Grundfos TheSans Light"/>
          <w:sz w:val="20"/>
          <w:szCs w:val="20"/>
        </w:rPr>
        <w:t>element in</w:t>
      </w:r>
      <w:r w:rsidRPr="00D20120">
        <w:rPr>
          <w:rFonts w:ascii="Grundfos TheSans Light" w:eastAsia="Grundfos TheSans Light" w:hAnsi="Grundfos TheSans Light" w:cs="Grundfos TheSans Light"/>
          <w:sz w:val="20"/>
          <w:szCs w:val="20"/>
        </w:rPr>
        <w:t xml:space="preserve"> the new </w:t>
      </w:r>
      <w:r>
        <w:rPr>
          <w:rFonts w:ascii="Grundfos TheSans Light" w:eastAsia="Grundfos TheSans Light" w:hAnsi="Grundfos TheSans Light" w:cs="Grundfos TheSans Light"/>
          <w:sz w:val="20"/>
          <w:szCs w:val="20"/>
        </w:rPr>
        <w:t>s</w:t>
      </w:r>
      <w:r w:rsidRPr="00D20120">
        <w:rPr>
          <w:rFonts w:ascii="Grundfos TheSans Light" w:eastAsia="Grundfos TheSans Light" w:hAnsi="Grundfos TheSans Light" w:cs="Grundfos TheSans Light"/>
          <w:sz w:val="20"/>
          <w:szCs w:val="20"/>
        </w:rPr>
        <w:t>trategy</w:t>
      </w:r>
      <w:r>
        <w:rPr>
          <w:rFonts w:ascii="Grundfos TheSans Light" w:eastAsia="Grundfos TheSans Light" w:hAnsi="Grundfos TheSans Light" w:cs="Grundfos TheSans Light"/>
          <w:sz w:val="20"/>
          <w:szCs w:val="20"/>
        </w:rPr>
        <w:t xml:space="preserve"> is </w:t>
      </w:r>
      <w:r w:rsidRPr="74F75D70">
        <w:rPr>
          <w:rFonts w:ascii="Grundfos TheSans Light" w:eastAsia="Grundfos TheSans Light" w:hAnsi="Grundfos TheSans Light" w:cs="Grundfos TheSans Light"/>
          <w:sz w:val="20"/>
          <w:szCs w:val="20"/>
        </w:rPr>
        <w:t>an increased</w:t>
      </w:r>
      <w:r w:rsidRPr="00D20120">
        <w:rPr>
          <w:rFonts w:ascii="Grundfos TheSans Light" w:eastAsia="Grundfos TheSans Light" w:hAnsi="Grundfos TheSans Light" w:cs="Grundfos TheSans Light"/>
          <w:sz w:val="20"/>
          <w:szCs w:val="20"/>
        </w:rPr>
        <w:t xml:space="preserve"> focus on strengthening </w:t>
      </w:r>
      <w:r>
        <w:rPr>
          <w:rFonts w:ascii="Grundfos TheSans Light" w:eastAsia="Grundfos TheSans Light" w:hAnsi="Grundfos TheSans Light" w:cs="Grundfos TheSans Light"/>
          <w:sz w:val="20"/>
          <w:szCs w:val="20"/>
        </w:rPr>
        <w:t xml:space="preserve">technology development and </w:t>
      </w:r>
      <w:r w:rsidRPr="00D20120">
        <w:rPr>
          <w:rFonts w:ascii="Grundfos TheSans Light" w:eastAsia="Grundfos TheSans Light" w:hAnsi="Grundfos TheSans Light" w:cs="Grundfos TheSans Light"/>
          <w:sz w:val="20"/>
          <w:szCs w:val="20"/>
        </w:rPr>
        <w:t xml:space="preserve">the </w:t>
      </w:r>
      <w:proofErr w:type="spellStart"/>
      <w:r w:rsidRPr="00D20120">
        <w:rPr>
          <w:rFonts w:ascii="Grundfos TheSans Light" w:eastAsia="Grundfos TheSans Light" w:hAnsi="Grundfos TheSans Light" w:cs="Grundfos TheSans Light"/>
          <w:sz w:val="20"/>
          <w:szCs w:val="20"/>
        </w:rPr>
        <w:t>commerciali</w:t>
      </w:r>
      <w:r>
        <w:rPr>
          <w:rFonts w:ascii="Grundfos TheSans Light" w:eastAsia="Grundfos TheSans Light" w:hAnsi="Grundfos TheSans Light" w:cs="Grundfos TheSans Light"/>
          <w:sz w:val="20"/>
          <w:szCs w:val="20"/>
        </w:rPr>
        <w:t>s</w:t>
      </w:r>
      <w:r w:rsidRPr="00D20120">
        <w:rPr>
          <w:rFonts w:ascii="Grundfos TheSans Light" w:eastAsia="Grundfos TheSans Light" w:hAnsi="Grundfos TheSans Light" w:cs="Grundfos TheSans Light"/>
          <w:sz w:val="20"/>
          <w:szCs w:val="20"/>
        </w:rPr>
        <w:t>ation</w:t>
      </w:r>
      <w:proofErr w:type="spellEnd"/>
      <w:r w:rsidRPr="00D20120">
        <w:rPr>
          <w:rFonts w:ascii="Grundfos TheSans Light" w:eastAsia="Grundfos TheSans Light" w:hAnsi="Grundfos TheSans Light" w:cs="Grundfos TheSans Light"/>
          <w:sz w:val="20"/>
          <w:szCs w:val="20"/>
        </w:rPr>
        <w:t xml:space="preserve"> of </w:t>
      </w:r>
      <w:r>
        <w:rPr>
          <w:rFonts w:ascii="Grundfos TheSans Light" w:eastAsia="Grundfos TheSans Light" w:hAnsi="Grundfos TheSans Light" w:cs="Grundfos TheSans Light"/>
          <w:sz w:val="20"/>
          <w:szCs w:val="20"/>
        </w:rPr>
        <w:t>the</w:t>
      </w:r>
      <w:r w:rsidRPr="00D20120">
        <w:rPr>
          <w:rFonts w:ascii="Grundfos TheSans Light" w:eastAsia="Grundfos TheSans Light" w:hAnsi="Grundfos TheSans Light" w:cs="Grundfos TheSans Light"/>
          <w:sz w:val="20"/>
          <w:szCs w:val="20"/>
        </w:rPr>
        <w:t xml:space="preserve"> innovation pipeline</w:t>
      </w:r>
      <w:r>
        <w:rPr>
          <w:rFonts w:ascii="Grundfos TheSans Light" w:eastAsia="Grundfos TheSans Light" w:hAnsi="Grundfos TheSans Light" w:cs="Grundfos TheSans Light"/>
          <w:sz w:val="20"/>
          <w:szCs w:val="20"/>
        </w:rPr>
        <w:t>.</w:t>
      </w:r>
    </w:p>
    <w:p w14:paraId="78300220" w14:textId="6E5F5271" w:rsidR="00AE1299" w:rsidRDefault="0098386B" w:rsidP="00486858">
      <w:pPr>
        <w:jc w:val="both"/>
      </w:pPr>
      <w:r w:rsidRPr="00433056">
        <w:rPr>
          <w:rFonts w:ascii="Grundfos TheSans Light" w:eastAsia="Grundfos TheSans Light" w:hAnsi="Grundfos TheSans Light" w:cs="Grundfos TheSans Light"/>
          <w:color w:val="000000" w:themeColor="text1"/>
          <w:sz w:val="20"/>
          <w:szCs w:val="20"/>
        </w:rPr>
        <w:t xml:space="preserve">Due Jensen continued: </w:t>
      </w:r>
      <w:r>
        <w:rPr>
          <w:rFonts w:ascii="Grundfos TheSans Light" w:eastAsia="Grundfos TheSans Light" w:hAnsi="Grundfos TheSans Light" w:cs="Grundfos TheSans Light"/>
          <w:color w:val="000000" w:themeColor="text1"/>
          <w:sz w:val="20"/>
          <w:szCs w:val="20"/>
        </w:rPr>
        <w:t>“</w:t>
      </w:r>
      <w:r>
        <w:rPr>
          <w:rFonts w:ascii="Grundfos TheSans Light" w:eastAsia="Grundfos TheSans Light" w:hAnsi="Grundfos TheSans Light" w:cs="Grundfos TheSans Light"/>
          <w:sz w:val="20"/>
          <w:szCs w:val="20"/>
        </w:rPr>
        <w:t xml:space="preserve">Never before has the need for innovation been more vital. It is absolutely key to delivering the energy efficient </w:t>
      </w:r>
      <w:r w:rsidRPr="74F75D70">
        <w:rPr>
          <w:rFonts w:ascii="Grundfos TheSans Light" w:eastAsia="Grundfos TheSans Light" w:hAnsi="Grundfos TheSans Light" w:cs="Grundfos TheSans Light"/>
          <w:sz w:val="20"/>
          <w:szCs w:val="20"/>
        </w:rPr>
        <w:t xml:space="preserve">and smart </w:t>
      </w:r>
      <w:r>
        <w:rPr>
          <w:rFonts w:ascii="Grundfos TheSans Light" w:eastAsia="Grundfos TheSans Light" w:hAnsi="Grundfos TheSans Light" w:cs="Grundfos TheSans Light"/>
          <w:sz w:val="20"/>
          <w:szCs w:val="20"/>
        </w:rPr>
        <w:t>water solutions the world needs, and with the new strategy we will further boost our investment in technology, software and product innovation to pioneer solutions to the world’s most pressing water and climate challenges.</w:t>
      </w:r>
      <w:r w:rsidRPr="00846FC5">
        <w:rPr>
          <w:rFonts w:ascii="Grundfos TheSans Light" w:eastAsia="Grundfos TheSans Light" w:hAnsi="Grundfos TheSans Light" w:cs="Grundfos TheSans Light"/>
          <w:sz w:val="20"/>
          <w:szCs w:val="20"/>
        </w:rPr>
        <w:t>"</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1"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2"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3"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0F61" w14:textId="77777777" w:rsidR="00895E6E" w:rsidRDefault="00895E6E" w:rsidP="00924CFE">
      <w:r>
        <w:separator/>
      </w:r>
    </w:p>
  </w:endnote>
  <w:endnote w:type="continuationSeparator" w:id="0">
    <w:p w14:paraId="3D97B66C" w14:textId="77777777" w:rsidR="00895E6E" w:rsidRDefault="00895E6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304030306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Grundfos TheSans Light">
    <w:panose1 w:val="020B0302050302020203"/>
    <w:charset w:val="00"/>
    <w:family w:val="swiss"/>
    <w:pitch w:val="variable"/>
    <w:sig w:usb0="A00002FF" w:usb1="500064FB" w:usb2="00000000" w:usb3="00000000" w:csb0="0000019F" w:csb1="00000000"/>
  </w:font>
  <w:font w:name="Grundfos TheSans Extd Bold">
    <w:panose1 w:val="020B0705050302020203"/>
    <w:charset w:val="00"/>
    <w:family w:val="swiss"/>
    <w:pitch w:val="variable"/>
    <w:sig w:usb0="00000287" w:usb1="00000000" w:usb2="00000000" w:usb3="00000000" w:csb0="0000019F" w:csb1="00000000"/>
  </w:font>
  <w:font w:name="Grundfos TheSans SemiLight">
    <w:panose1 w:val="020B0402050302020203"/>
    <w:charset w:val="00"/>
    <w:family w:val="swiss"/>
    <w:pitch w:val="variable"/>
    <w:sig w:usb0="A00002FF" w:usb1="50006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41512" w14:textId="77777777" w:rsidR="00895E6E" w:rsidRDefault="00895E6E" w:rsidP="00924CFE">
      <w:r>
        <w:separator/>
      </w:r>
    </w:p>
  </w:footnote>
  <w:footnote w:type="continuationSeparator" w:id="0">
    <w:p w14:paraId="064CBC66" w14:textId="77777777" w:rsidR="00895E6E" w:rsidRDefault="00895E6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86D"/>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24B"/>
    <w:rsid w:val="007A69CB"/>
    <w:rsid w:val="007A7339"/>
    <w:rsid w:val="007B6A34"/>
    <w:rsid w:val="007C3F84"/>
    <w:rsid w:val="007C628A"/>
    <w:rsid w:val="007D40B0"/>
    <w:rsid w:val="007E1C8C"/>
    <w:rsid w:val="007F0279"/>
    <w:rsid w:val="007F09BD"/>
    <w:rsid w:val="007F626E"/>
    <w:rsid w:val="008004A4"/>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5E6E"/>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386B"/>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C249B"/>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55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9E4"/>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1AFA"/>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CommentReference">
    <w:name w:val="annotation reference"/>
    <w:basedOn w:val="DefaultParagraphFont"/>
    <w:uiPriority w:val="99"/>
    <w:semiHidden/>
    <w:unhideWhenUsed/>
    <w:rsid w:val="008004A4"/>
    <w:rPr>
      <w:sz w:val="16"/>
      <w:szCs w:val="16"/>
    </w:rPr>
  </w:style>
  <w:style w:type="table" w:styleId="GridTable6Colorful-Accent1">
    <w:name w:val="Grid Table 6 Colorful Accent 1"/>
    <w:basedOn w:val="TableNormal"/>
    <w:uiPriority w:val="51"/>
    <w:rsid w:val="008004A4"/>
    <w:rPr>
      <w:rFonts w:asciiTheme="minorHAnsi" w:eastAsiaTheme="minorEastAsia" w:hAnsiTheme="minorHAnsi" w:cstheme="minorBidi"/>
      <w:color w:val="0C365B" w:themeColor="accent1" w:themeShade="BF"/>
      <w:kern w:val="2"/>
      <w:sz w:val="24"/>
      <w:szCs w:val="24"/>
      <w:lang w:eastAsia="ja-JP"/>
      <w14:ligatures w14:val="standardContextual"/>
    </w:rPr>
    <w:tblPr>
      <w:tblStyleRowBandSize w:val="1"/>
      <w:tblStyleColBandSize w:val="1"/>
      <w:tblBorders>
        <w:top w:val="single" w:sz="4" w:space="0" w:color="3B94E4" w:themeColor="accent1" w:themeTint="99"/>
        <w:left w:val="single" w:sz="4" w:space="0" w:color="3B94E4" w:themeColor="accent1" w:themeTint="99"/>
        <w:bottom w:val="single" w:sz="4" w:space="0" w:color="3B94E4" w:themeColor="accent1" w:themeTint="99"/>
        <w:right w:val="single" w:sz="4" w:space="0" w:color="3B94E4" w:themeColor="accent1" w:themeTint="99"/>
        <w:insideH w:val="single" w:sz="4" w:space="0" w:color="3B94E4" w:themeColor="accent1" w:themeTint="99"/>
        <w:insideV w:val="single" w:sz="4" w:space="0" w:color="3B94E4" w:themeColor="accent1" w:themeTint="99"/>
      </w:tblBorders>
    </w:tblPr>
    <w:tblStylePr w:type="firstRow">
      <w:rPr>
        <w:b/>
        <w:bCs/>
      </w:rPr>
      <w:tblPr/>
      <w:tcPr>
        <w:tcBorders>
          <w:bottom w:val="single" w:sz="12" w:space="0" w:color="3B94E4" w:themeColor="accent1" w:themeTint="99"/>
        </w:tcBorders>
      </w:tcPr>
    </w:tblStylePr>
    <w:tblStylePr w:type="lastRow">
      <w:rPr>
        <w:b/>
        <w:bCs/>
      </w:rPr>
      <w:tblPr/>
      <w:tcPr>
        <w:tcBorders>
          <w:top w:val="double" w:sz="4" w:space="0" w:color="3B94E4" w:themeColor="accent1" w:themeTint="99"/>
        </w:tcBorders>
      </w:tcPr>
    </w:tblStylePr>
    <w:tblStylePr w:type="firstCol">
      <w:rPr>
        <w:b/>
        <w:bCs/>
      </w:rPr>
    </w:tblStylePr>
    <w:tblStylePr w:type="lastCol">
      <w:rPr>
        <w:b/>
        <w:bCs/>
      </w:rPr>
    </w:tblStylePr>
    <w:tblStylePr w:type="band1Vert">
      <w:tblPr/>
      <w:tcPr>
        <w:shd w:val="clear" w:color="auto" w:fill="BDDBF6" w:themeFill="accent1" w:themeFillTint="33"/>
      </w:tcPr>
    </w:tblStylePr>
    <w:tblStylePr w:type="band1Horz">
      <w:tblPr/>
      <w:tcPr>
        <w:shd w:val="clear" w:color="auto" w:fill="BDDB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Grundfos A4 Logo Top</Template>
  <TotalTime>0</TotalTime>
  <Pages>2</Pages>
  <Words>597</Words>
  <Characters>3367</Characters>
  <Application>Microsoft Office Word</Application>
  <DocSecurity>8</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Carina Achton Nielsen</cp:lastModifiedBy>
  <cp:revision>4</cp:revision>
  <cp:lastPrinted>2012-08-31T11:50:00Z</cp:lastPrinted>
  <dcterms:created xsi:type="dcterms:W3CDTF">2025-02-05T14:07:00Z</dcterms:created>
  <dcterms:modified xsi:type="dcterms:W3CDTF">2025-02-05T14:09:00Z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